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350435" w:rsidP="00DB5613">
      <w:pPr>
        <w:jc w:val="center"/>
        <w:rPr>
          <w:b/>
        </w:rPr>
      </w:pPr>
      <w:r w:rsidRPr="009566B7">
        <w:rPr>
          <w:b/>
        </w:rPr>
        <w:t xml:space="preserve">Закуп и поставка </w:t>
      </w:r>
      <w:r w:rsidR="009566B7" w:rsidRPr="009566B7">
        <w:rPr>
          <w:b/>
        </w:rPr>
        <w:t>серверного оборудования и систем хранения данных</w:t>
      </w:r>
      <w:r w:rsidRPr="009566B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bookmarkStart w:id="0" w:name="_GoBack"/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  <w:bookmarkEnd w:id="0"/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576DA">
        <w:rPr>
          <w:b/>
          <w:bCs/>
          <w:iCs/>
        </w:rPr>
        <w:t>2</w:t>
      </w:r>
      <w:r w:rsidR="00776BBA">
        <w:rPr>
          <w:b/>
          <w:bCs/>
          <w:iCs/>
        </w:rPr>
        <w:t>8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576DA">
        <w:rPr>
          <w:b/>
          <w:bCs/>
          <w:iCs/>
        </w:rPr>
        <w:t>2</w:t>
      </w:r>
      <w:r w:rsidR="00776BBA">
        <w:rPr>
          <w:b/>
          <w:bCs/>
          <w:iCs/>
        </w:rPr>
        <w:t>8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8576DA">
        <w:rPr>
          <w:b/>
          <w:bCs/>
          <w:iCs/>
        </w:rPr>
        <w:t>2</w:t>
      </w:r>
      <w:r w:rsidR="00776BBA">
        <w:rPr>
          <w:b/>
          <w:bCs/>
          <w:iCs/>
        </w:rPr>
        <w:t>8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8576DA">
        <w:rPr>
          <w:b/>
          <w:bCs/>
          <w:iCs/>
        </w:rPr>
        <w:t>2</w:t>
      </w:r>
      <w:r w:rsidR="00776BBA">
        <w:rPr>
          <w:b/>
          <w:bCs/>
          <w:iCs/>
        </w:rPr>
        <w:t>8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C1CE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F9E4-731F-48B1-87B5-9399F81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2021-12-09T05:43:00Z</cp:lastPrinted>
  <dcterms:created xsi:type="dcterms:W3CDTF">2021-03-31T11:19:00Z</dcterms:created>
  <dcterms:modified xsi:type="dcterms:W3CDTF">2023-02-22T06:52:00Z</dcterms:modified>
</cp:coreProperties>
</file>